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towing business, body shop, finance company, bank, motor vehicle auction business, motor vehicle rental company, recycler or repossession company licensed by the Department of Professional and Financial Regulation,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§14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PL 2023, c. 634,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Special dealer licenses and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Special dealer licenses and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§954. SPECIAL DEALER LICENSES AND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