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170-A</w:t>
        <w:t xml:space="preserve">.  </w:t>
      </w:r>
      <w:r>
        <w:rPr>
          <w:b/>
        </w:rPr>
        <w:t xml:space="preserve">Use of legislative equipment and resources</w:t>
      </w:r>
    </w:p>
    <w:p>
      <w:pPr>
        <w:jc w:val="both"/>
        <w:spacing w:before="100" w:after="100"/>
        <w:ind w:start="360"/>
        <w:ind w:firstLine="360"/>
      </w:pPr>
      <w:r>
        <w:rPr/>
      </w:r>
      <w:r>
        <w:rPr/>
      </w:r>
      <w:r>
        <w:t xml:space="preserve">Legislative employees are prohibited from at any time using the computer system, telephones, copying machines and other legislative equipment for work related to campaigns.</w:t>
      </w:r>
      <w:r>
        <w:t xml:space="preserve">  </w:t>
      </w:r>
      <w:r xmlns:wp="http://schemas.openxmlformats.org/drawingml/2010/wordprocessingDrawing" xmlns:w15="http://schemas.microsoft.com/office/word/2012/wordml">
        <w:rPr>
          <w:rFonts w:ascii="Arial" w:hAnsi="Arial" w:cs="Arial"/>
          <w:sz w:val="22"/>
          <w:szCs w:val="22"/>
        </w:rPr>
        <w:t xml:space="preserve">[PL 1995, c. 100,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§170-A. Use of legislative equipment and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§170-A. Use of legislative equipment and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§170-A. USE OF LEGISLATIVE EQUIPMENT AND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