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§172-A. STATE LAW LIBRARY;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