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w:t>
        <w:t xml:space="preserve">.  </w:t>
      </w:r>
      <w:r>
        <w:rPr>
          <w:b/>
        </w:rPr>
        <w:t xml:space="preserve">Committee</w:t>
      </w:r>
    </w:p>
    <w:p>
      <w:pPr>
        <w:jc w:val="both"/>
        <w:spacing w:before="100" w:after="100"/>
        <w:ind w:start="360"/>
        <w:ind w:firstLine="360"/>
      </w:pPr>
      <w:r>
        <w:rPr/>
      </w:r>
      <w:r>
        <w:rPr/>
      </w:r>
      <w:r>
        <w:t xml:space="preserve">The joint standing committee of the Legislature having jurisdiction over appropriations and financial affairs is authorized to provide oversight of financial matters, excluding those items over which the Legislative Council has statutory authority.</w:t>
      </w:r>
      <w:r>
        <w:t xml:space="preserve">  </w:t>
      </w:r>
      <w:r xmlns:wp="http://schemas.openxmlformats.org/drawingml/2010/wordprocessingDrawing" xmlns:w15="http://schemas.microsoft.com/office/word/2012/wordml">
        <w:rPr>
          <w:rFonts w:ascii="Arial" w:hAnsi="Arial" w:cs="Arial"/>
          <w:sz w:val="22"/>
          <w:szCs w:val="22"/>
        </w:rPr>
        <w:t xml:space="preserve">[PL 1981, c. 702, Pt. S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702, Pt. S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§521.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