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Committee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§955. COMMITTEE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