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Services in condemnation cases</w:t>
      </w:r>
    </w:p>
    <w:p>
      <w:pPr>
        <w:jc w:val="both"/>
        <w:spacing w:before="100" w:after="100"/>
        <w:ind w:start="360"/>
        <w:ind w:firstLine="360"/>
      </w:pPr>
      <w:r>
        <w:rPr/>
      </w:r>
      <w:r>
        <w:rPr/>
      </w:r>
      <w:r>
        <w:t xml:space="preserve">The county commissioners shall charge $3 a day and actual traveling expenses for their services in the assessment of damages for land or easement sought to be taken or acquired by private corporations.  They must certify these charges and expenses in a bill of items to the district attorney.  The district attorney shall collect these sums from the party seeking to exercise the right of eminent domain and immediately pay those sums to the county treasurer. The county treasurer shall pay the actual traveling expenses to the commissioners when they are collected by the district attorney.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§105. Services in condemnation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Services in condemnation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§105. SERVICES IN CONDEMNATION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