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151</w:t>
        <w:t xml:space="preserve">.  </w:t>
      </w:r>
      <w:r>
        <w:rPr>
          <w:b/>
        </w:rPr>
        <w:t xml:space="preserve">Election; vacancy</w:t>
      </w:r>
    </w:p>
    <w:p>
      <w:pPr>
        <w:jc w:val="both"/>
        <w:spacing w:before="100" w:after="100"/>
        <w:ind w:start="360"/>
        <w:ind w:firstLine="360"/>
      </w:pPr>
      <w:r>
        <w:rPr/>
      </w:r>
      <w:r>
        <w:rPr/>
      </w:r>
      <w:r>
        <w:t xml:space="preserve">Except as provided in </w:t>
      </w:r>
      <w:r>
        <w:t>section 156</w:t>
      </w:r>
      <w:r>
        <w:t xml:space="preserve">, the voters of each county shall elect a county treasurer.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Qualifications.</w:t>
        <w:t xml:space="preserve"> </w:t>
      </w:r>
      <w:r>
        <w:t xml:space="preserve"> </w:t>
      </w:r>
      <w:r>
        <w:t xml:space="preserve">The county treasurer must be a resident of the county.  Neither the Attorney General, district attorney, clerk of courts, sheriff of the county nor any deputy sheriff may be county treasurer.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Term.</w:t>
        <w:t xml:space="preserve"> </w:t>
      </w:r>
      <w:r>
        <w:t xml:space="preserve"> </w:t>
      </w:r>
      <w:r>
        <w:t xml:space="preserve">The county treasurer shall hold office for 4 years from the first day of January following the election and until another is chosen and qualified in the county treasurer's place.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3</w:t>
        <w:t xml:space="preserve">.  </w:t>
      </w:r>
      <w:r>
        <w:rPr>
          <w:b/>
        </w:rPr>
        <w:t xml:space="preserve">Vacancy.</w:t>
        <w:t xml:space="preserve"> </w:t>
      </w:r>
      <w:r>
        <w:t xml:space="preserve"> </w:t>
      </w:r>
      <w:r>
        <w:t xml:space="preserve">If a person chosen treasurer as provided in </w:t>
      </w:r>
      <w:r>
        <w:t>subsection 1</w:t>
      </w:r>
      <w:r>
        <w:t xml:space="preserve"> declines to accept or a vacancy occurs by reason of death, resignation, removal from the county, permanent incapacity or for any other reason, the Governor may appoint a suitable resident of the county to serve as treasurer.  When that person has accepted the office, provided a bond and been sworn, that person is treasurer until the first day of January following the next biennial election, at which election a treasurer must be chosen for the remainder of the term, if any; but, in any event, that person holds office until another is chosen and qualified.</w:t>
      </w:r>
    </w:p>
    <w:p>
      <w:pPr>
        <w:jc w:val="both"/>
        <w:spacing w:before="100" w:after="0"/>
        <w:ind w:start="720"/>
      </w:pPr>
      <w:r>
        <w:rPr/>
        <w:t>A</w:t>
        <w:t xml:space="preserve">.  </w:t>
      </w:r>
      <w:r>
        <w:rPr/>
      </w:r>
      <w:r>
        <w:t xml:space="preserve">In the case of a vacancy in the term of a treasurer who was nominated by primary election before the general election, the treasurer appointed by the Governor must be enrolled in the same political party as the treasurer whose term is vacant.  In making the appointment, the Governor shall choose from any recommendations submitted to the Governor by the county committee of the political party from which the appointment is to be made.</w:t>
      </w:r>
      <w:r>
        <w:t xml:space="preserve">  </w:t>
      </w:r>
      <w:r xmlns:wp="http://schemas.openxmlformats.org/drawingml/2010/wordprocessingDrawing" xmlns:w15="http://schemas.microsoft.com/office/word/2012/wordml">
        <w:rPr>
          <w:rFonts w:ascii="Arial" w:hAnsi="Arial" w:cs="Arial"/>
          <w:sz w:val="22"/>
          <w:szCs w:val="22"/>
        </w:rPr>
        <w:t xml:space="preserve">[PL 1995, c. 245,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683,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1995, c. 245, §4 (AMD). PL 1995, c. 683,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§151. Election; vacancy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§151. Election; vacancy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§151. ELECTION; VACANCY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