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w:t>
        <w:t xml:space="preserve">.  </w:t>
      </w:r>
      <w:r>
        <w:rPr>
          <w:b/>
        </w:rPr>
        <w:t xml:space="preserve">Provisional treasurer</w:t>
      </w:r>
    </w:p>
    <w:p>
      <w:pPr>
        <w:jc w:val="both"/>
        <w:spacing w:before="100" w:after="100"/>
        <w:ind w:start="360"/>
        <w:ind w:firstLine="360"/>
      </w:pPr>
      <w:r>
        <w:rPr/>
      </w:r>
      <w:r>
        <w:rPr/>
      </w:r>
      <w:r>
        <w:t xml:space="preserve">If the offices of county treasurer and deputy treasurer are both vacant, the county commissioners shall appoint a provisional treasurer who shall serve until a treasurer is chosen and qualified under </w:t>
      </w:r>
      <w:r>
        <w:t>section 151</w:t>
      </w:r>
      <w:r>
        <w:t xml:space="preserve">.  The provisional treasurer has all the authority granted to treasurers under this subchapter and is subject to all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§162. Provisional treasurer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 Provisional treasurer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§162. PROVISIONAL TREASURER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