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Guarantee by counties of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§1954. GUARANTEE BY COUNTIES OF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