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Authority to consolidate</w:t>
      </w:r>
    </w:p>
    <w:p>
      <w:pPr>
        <w:jc w:val="both"/>
        <w:spacing w:before="100" w:after="100"/>
        <w:ind w:start="360"/>
        <w:ind w:firstLine="360"/>
      </w:pPr>
      <w:r>
        <w:rPr/>
      </w:r>
      <w:r>
        <w:rPr/>
      </w:r>
      <w:r>
        <w:t xml:space="preserve">Any 2 or more municipalities may consolidate by following the procedure of </w:t>
      </w:r>
      <w:r>
        <w:t>section 2152</w:t>
      </w:r>
      <w:r>
        <w:t xml:space="preserve"> or the alternative procedure of </w:t>
      </w:r>
      <w:r>
        <w:t>section 2153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 Authority to consolidate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Authority to consolidate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§2151. AUTHORITY TO CONSOLIDATE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