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2174-A</w:t>
        <w:t xml:space="preserve">.  </w:t>
      </w:r>
      <w:r>
        <w:rPr>
          <w:b/>
        </w:rPr>
        <w:t xml:space="preserve">Legislative approval of a vote on secession</w:t>
      </w:r>
    </w:p>
    <w:p>
      <w:pPr>
        <w:jc w:val="both"/>
        <w:spacing w:before="100" w:after="100"/>
        <w:ind w:start="360"/>
        <w:ind w:firstLine="360"/>
      </w:pPr>
      <w:r>
        <w:rPr/>
      </w:r>
      <w:r>
        <w:rPr/>
      </w:r>
      <w:r>
        <w:t xml:space="preserve">In order to secede, a municipality must receive approval from the Legislature for the municipality to hold a vote on the proposed secession.</w:t>
      </w:r>
      <w:r>
        <w:t xml:space="preserve">  </w:t>
      </w:r>
      <w:r xmlns:wp="http://schemas.openxmlformats.org/drawingml/2010/wordprocessingDrawing" xmlns:w15="http://schemas.microsoft.com/office/word/2012/wordml">
        <w:rPr>
          <w:rFonts w:ascii="Arial" w:hAnsi="Arial" w:cs="Arial"/>
          <w:sz w:val="22"/>
          <w:szCs w:val="22"/>
        </w:rPr>
        <w:t xml:space="preserve">[PL 2013,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§2174-A. Legislative approval of a vote on secession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§2174-A. Legislative approval of a vote on secession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§2174-A. LEGISLATIVE APPROVAL OF A VOTE ON SECESSION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