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Deputy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Deputy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§2603. DEPUTY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