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Bond</w:t>
      </w:r>
    </w:p>
    <w:p>
      <w:pPr>
        <w:jc w:val="both"/>
        <w:spacing w:before="100" w:after="100"/>
        <w:ind w:start="360"/>
        <w:ind w:firstLine="360"/>
      </w:pPr>
      <w:r>
        <w:rPr/>
      </w:r>
      <w:r>
        <w:rPr/>
      </w:r>
      <w:r>
        <w:t xml:space="preserve">A municipality may require its clerk to be bonded according to </w:t>
      </w:r>
      <w:r>
        <w:t>section 5601</w:t>
      </w:r>
      <w:r>
        <w:t xml:space="preserve">, before assuming the duties of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§2651.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