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municipality for use in the examination or evaluation of applicants for positions as municipal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that may be necessary for the bargaining agent to carry out its collective bargaining responsibilities.  Any records available to union representatives that are otherwise covered by this subsection must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B</w:t>
        <w:t xml:space="preserve">.  </w:t>
      </w:r>
      <w:r>
        <w:rPr/>
      </w:r>
      <w:r>
        <w:t xml:space="preserve">Municipal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451, §3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§7 (NEW).]</w:t>
      </w:r>
    </w:p>
    <w:p>
      <w:pPr>
        <w:jc w:val="both"/>
        <w:spacing w:before="100" w:after="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the municipal official with custody of the records shall provide the employee, former employee or the employee's authorized representative with an opportunity to review the employee's personnel file, if the municipal official has a personnel file for that employee.  These reviews shall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which the municipal official may possess.  The records described in </w:t>
      </w:r>
      <w:r>
        <w:t>subsection 1, paragraph B</w:t>
      </w:r>
      <w:r>
        <w:t xml:space="preserve">, may also be examined by the employee to whom they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§3 (AMD). PL 1991, c. 229, §3 (AMD). PL 1991, c. 729, §7 (AMD). PL 1997, c. 770, §3 (AMD). PL 2013, c. 201, §3 (AMD). PL 2019, c. 451,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Personnel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Personnel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§2702. PERSONNEL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