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2960</w:t>
        <w:t xml:space="preserve">.  </w:t>
      </w:r>
      <w:r>
        <w:rPr>
          <w:b/>
        </w:rPr>
        <w:t xml:space="preserve">Occupant ceasing to improve land; adjoining owner may buy fence</w:t>
      </w:r>
    </w:p>
    <w:p>
      <w:pPr>
        <w:jc w:val="both"/>
        <w:spacing w:before="100" w:after="100"/>
        <w:ind w:start="360"/>
        <w:ind w:firstLine="360"/>
      </w:pPr>
      <w:r>
        <w:rPr/>
      </w:r>
      <w:r>
        <w:rPr/>
      </w:r>
      <w:r>
        <w:t xml:space="preserve">When one party ceases to improve that party's land or lays open that party's enclosure, that party shall not take away any part of that party's partition fence adjoining the next enclosure improved if the owner or occupant thereof will pay therefor what 2 or more fence viewers, on due notice to both parties, determine to be its reasonable value.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§2960. Occupant ceasing to improve land; adjoining owner may buy fence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§2960. Occupant ceasing to improve land; adjoining owner may buy fence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§2960. OCCUPANT CEASING TO IMPROVE LAND; ADJOINING OWNER MAY BUY FENCE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