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3263</w:t>
        <w:t xml:space="preserve">.  </w:t>
      </w:r>
      <w:r>
        <w:rPr>
          <w:b/>
        </w:rPr>
        <w:t xml:space="preserve">Supervision of shade trees</w:t>
      </w:r>
    </w:p>
    <w:p>
      <w:pPr>
        <w:jc w:val="both"/>
        <w:spacing w:before="100" w:after="100"/>
        <w:ind w:start="360"/>
        <w:ind w:firstLine="360"/>
      </w:pPr>
      <w:r>
        <w:rPr/>
      </w:r>
      <w:r>
        <w:rPr/>
      </w:r>
      <w:r>
        <w:t xml:space="preserve">All public shade trees may be under the care and control of conservation commissioners in municipalities which appoint those commissioners under this subchapter.  The conservation commissioners may have the powers and duties of tree wardens in regard to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§3263. Supervision of shade trees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§3263. Supervision of shade trees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§3263. SUPERVISION OF SHADE TREES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