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§3425. Pro rata payments for use of private drain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§3425. PRO RATA PAYMENTS FOR USE OF PRIVATE DRAIN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