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Penalties</w:t>
      </w:r>
    </w:p>
    <w:p>
      <w:pPr>
        <w:jc w:val="both"/>
        <w:spacing w:before="100" w:after="100"/>
        <w:ind w:start="360"/>
        <w:ind w:firstLine="360"/>
      </w:pPr>
      <w:r>
        <w:rPr/>
      </w:r>
      <w:r>
        <w:rPr/>
      </w:r>
      <w:r>
        <w:t xml:space="preserve">Any person who violates this subchapter commits a civil violation for which a forfeiture of not less than $25 nor more than $1,000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