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§4761. Temporary Housing Assistance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§4761. Temporary Housing Assistance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§4761. TEMPORARY HOUSING ASSISTANCE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