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Determination of outstanding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§4908. DETERMINATION OF OUTSTANDING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