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w:t>
        <w:t xml:space="preserve">.  </w:t>
      </w:r>
      <w:r>
        <w:rPr>
          <w:b/>
        </w:rPr>
        <w:t xml:space="preserve">Electric Assistance Program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fund is established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100"/>
        <w:ind w:start="360"/>
        <w:ind w:firstLine="360"/>
      </w:pPr>
      <w:r>
        <w:rPr>
          <w:b/>
        </w:rPr>
        <w:t>2</w:t>
        <w:t xml:space="preserve">.  </w:t>
      </w:r>
      <w:r>
        <w:rPr>
          <w:b/>
        </w:rPr>
        <w:t xml:space="preserve">Sources of the fund.</w:t>
        <w:t xml:space="preserve"> </w:t>
      </w:r>
      <w:r>
        <w:t xml:space="preserve"> </w:t>
      </w:r>
      <w:r>
        <w:t xml:space="preserve">The funds consists of:</w:t>
      </w:r>
    </w:p>
    <w:p>
      <w:pPr>
        <w:jc w:val="both"/>
        <w:spacing w:before="100" w:after="0"/>
        <w:ind w:start="720"/>
      </w:pPr>
      <w:r>
        <w:rPr/>
        <w:t>A</w:t>
        <w:t xml:space="preserve">.  </w:t>
      </w:r>
      <w:r>
        <w:rPr/>
      </w:r>
      <w:r>
        <w:t xml:space="preserve">Funds collected by an electric utility as determined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Subject to any pledge, contract or other obligation, all interest, dividends and pecuniary gains from the investment of money in the fund; and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All other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shall apply money in the fund to provide electric assistance for the benefit of eligible households and for other purposes authorized by this subchapter.  Money in the fund not currently needed for purposes of this subchapter may be deposited with the authority to the credit of the fund and may be invested as provided by law.  The fund may be used by the authority to pay for the administrative expenses of the fund and operation of the program with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authority may divide the fund into separate accounts as it determines necessary or convenient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revolving fund.  The authority shall continuously apply the money in the fund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§4962. Electric Assistance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 Electric Assistance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§4962. ELECTRIC ASSISTANCE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