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5062</w:t>
        <w:t xml:space="preserve">.  </w:t>
      </w:r>
      <w:r>
        <w:rPr>
          <w:b/>
        </w:rPr>
        <w:t xml:space="preserve">Reduced fees; affordable housing</w:t>
      </w:r>
    </w:p>
    <w:p>
      <w:pPr>
        <w:jc w:val="both"/>
        <w:spacing w:before="100" w:after="100"/>
        <w:ind w:start="360"/>
        <w:ind w:firstLine="360"/>
      </w:pPr>
      <w:r>
        <w:rPr/>
      </w:r>
      <w:r>
        <w:rPr/>
      </w:r>
      <w:r>
        <w:t xml:space="preserve">The governing body of a consumer-owned water utility or a sewer utility, referred to in this section as "the governing body," may charge a lower impact fee or connection fee than its usual impact fee or connection fee for the establishment of service to a newly constructed affordable housing unit or units.</w:t>
      </w:r>
      <w:r>
        <w:t xml:space="preserve">  </w:t>
      </w:r>
      <w:r xmlns:wp="http://schemas.openxmlformats.org/drawingml/2010/wordprocessingDrawing" xmlns:w15="http://schemas.microsoft.com/office/word/2012/wordml">
        <w:rPr>
          <w:rFonts w:ascii="Arial" w:hAnsi="Arial" w:cs="Arial"/>
          <w:sz w:val="22"/>
          <w:szCs w:val="22"/>
        </w:rPr>
        <w:t xml:space="preserve">[PL 2007, c. 174, §2 (NEW).]</w:t>
      </w:r>
    </w:p>
    <w:p>
      <w:pPr>
        <w:jc w:val="both"/>
        <w:spacing w:before="100" w:after="0"/>
        <w:ind w:start="360"/>
        <w:ind w:firstLine="360"/>
      </w:pPr>
      <w:r>
        <w:rPr>
          <w:b/>
        </w:rPr>
        <w:t>1</w:t>
        <w:t xml:space="preserve">.  </w:t>
      </w:r>
      <w:r>
        <w:rPr>
          <w:b/>
        </w:rPr>
        <w:t xml:space="preserve">Uniform application.</w:t>
        <w:t xml:space="preserve"> </w:t>
      </w:r>
      <w:r>
        <w:t xml:space="preserve"> </w:t>
      </w:r>
      <w:r>
        <w:t xml:space="preserve">If the governing body elects to charge a reduced impact fee or connection fee under this section, it must apply the reduced fee uniformly to all similarly situated applicants for the reduced fee within the utility's service territory.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174, §2 (NEW).]</w:t>
      </w:r>
    </w:p>
    <w:p>
      <w:pPr>
        <w:jc w:val="both"/>
        <w:spacing w:before="100" w:after="0"/>
        <w:ind w:start="360"/>
        <w:ind w:firstLine="360"/>
      </w:pPr>
      <w:r>
        <w:rPr>
          <w:b/>
        </w:rPr>
        <w:t>2</w:t>
        <w:t xml:space="preserve">.  </w:t>
      </w:r>
      <w:r>
        <w:rPr>
          <w:b/>
        </w:rPr>
        <w:t xml:space="preserve">Credit to purchaser.</w:t>
        <w:t xml:space="preserve"> </w:t>
      </w:r>
      <w:r>
        <w:t xml:space="preserve"> </w:t>
      </w:r>
      <w:r>
        <w:t xml:space="preserve">Any reduction in the impact fee or connection fee pursuant to this section must be credited to the purchaser of the affordable housing unit.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174, §2 (NEW).]</w:t>
      </w:r>
    </w:p>
    <w:p>
      <w:pPr>
        <w:jc w:val="both"/>
        <w:spacing w:before="100" w:after="0"/>
        <w:ind w:start="360"/>
        <w:ind w:firstLine="360"/>
      </w:pPr>
      <w:r>
        <w:rPr>
          <w:b/>
        </w:rPr>
        <w:t>3</w:t>
        <w:t xml:space="preserve">.  </w:t>
      </w:r>
      <w:r>
        <w:rPr>
          <w:b/>
        </w:rPr>
        <w:t xml:space="preserve">Ratepayer notification; cost allocation.</w:t>
        <w:t xml:space="preserve"> </w:t>
      </w:r>
      <w:r>
        <w:t xml:space="preserve"> </w:t>
      </w:r>
      <w:r>
        <w:t xml:space="preserve">The governing body shall notify ratepayers in a timely manner of any reduction in the impact fee or connection fee pursuant to this section. The governing body may allocate the cost of the reduced impact fee or connection fee among all ratepayers.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174,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§5062. Reduced fees; affordable housing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§5062. Reduced fees; affordable housing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§5062. REDUCED FEES; AFFORDABLE HOUSING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