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5285</w:t>
        <w:t xml:space="preserve">.  </w:t>
      </w:r>
      <w:r>
        <w:rPr>
          <w:b/>
        </w:rPr>
        <w:t xml:space="preserve">Agreements between municipalities</w:t>
      </w:r>
    </w:p>
    <w:p>
      <w:pPr>
        <w:jc w:val="both"/>
        <w:spacing w:before="100" w:after="100"/>
        <w:ind w:start="360"/>
        <w:ind w:firstLine="360"/>
      </w:pPr>
      <w:r>
        <w:rPr/>
      </w:r>
      <w:r>
        <w:rPr/>
      </w:r>
      <w:r>
        <w:t xml:space="preserve">Municipalities may jointly create municipal incentive development zones that encompass property located within the boundaries of the municipalities.  The municipalities may enter into agreements with each other allocating the economic benefit resulting from the creation of the zones.</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§5285. Agreements between municipalities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§5285. Agreements between municipalities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§5285. AGREEMENTS BETWEEN MUNICIPALITIES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