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5701</w:t>
        <w:t xml:space="preserve">.  </w:t>
      </w:r>
      <w:r>
        <w:rPr>
          <w:b/>
        </w:rPr>
        <w:t xml:space="preserve">Debt liability</w:t>
      </w:r>
    </w:p>
    <w:p>
      <w:pPr>
        <w:jc w:val="both"/>
        <w:spacing w:before="100" w:after="100"/>
        <w:ind w:start="360"/>
        <w:ind w:firstLine="360"/>
      </w:pPr>
      <w:r>
        <w:rPr/>
      </w:r>
      <w:r>
        <w:rPr/>
      </w:r>
      <w:r>
        <w:t xml:space="preserve">The personal property of the residents and the real estate within the boundaries of a municipality, village corporation or other quasi-municipal corporation may be taken to pay any debt due from the body corporate.  The owner of property taken under this section may recover from the municipality or quasi-municipal corporation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§5701. Debt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§5701. Debt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§5701. DEBT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