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5711</w:t>
        <w:t xml:space="preserve">.  </w:t>
      </w:r>
      <w:r>
        <w:rPr>
          <w:b/>
        </w:rPr>
        <w:t xml:space="preserve">Investments in general</w:t>
      </w:r>
    </w:p>
    <w:p>
      <w:pPr>
        <w:jc w:val="both"/>
        <w:spacing w:before="100" w:after="100"/>
        <w:ind w:start="360"/>
        <w:ind w:firstLine="360"/>
      </w:pPr>
      <w:r>
        <w:rPr/>
      </w:r>
      <w:r>
        <w:rPr/>
      </w:r>
      <w:r>
        <w:t xml:space="preserve">Municipalities may hereafter invest their funds in securities in accordance with this article, subject to the conditions and limitations set forth in this article or the terms of the instrument, order or article creating the fund being invested.  Limitations set forth in this article concerning the maximum amount which may be invested in a security or type of security shall apply only to an investment in that security or type of security which exceeds $20,000.  Investments made under this article shall be made by the treasurer upon direction of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§5711. Investments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§5711. Investments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§5711. INVESTMENTS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