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5826</w:t>
        <w:t xml:space="preserve">.  </w:t>
      </w:r>
      <w:r>
        <w:rPr>
          <w:b/>
        </w:rPr>
        <w:t xml:space="preserve">Penalties</w:t>
      </w:r>
    </w:p>
    <w:p>
      <w:pPr>
        <w:jc w:val="both"/>
        <w:spacing w:before="100" w:after="100"/>
        <w:ind w:start="360"/>
        <w:ind w:firstLine="360"/>
      </w:pPr>
      <w:r>
        <w:rPr/>
      </w:r>
      <w:r>
        <w:rPr/>
      </w:r>
      <w:r>
        <w:t xml:space="preserve">A public official who neglects or refuses to perform any duty imposed by sections 5821 to 5823:</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Civil violation.</w:t>
        <w:t xml:space="preserve"> </w:t>
      </w:r>
      <w:r>
        <w:t xml:space="preserve"> </w:t>
      </w:r>
      <w:r>
        <w:t xml:space="preserve">Commits a civil violation for which a forfeiture of not more than $100 may be adjudged;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Forfeiture of office.</w:t>
        <w:t xml:space="preserve"> </w:t>
      </w:r>
      <w:r>
        <w:t xml:space="preserve"> </w:t>
      </w:r>
      <w:r>
        <w:t xml:space="preserve">Forfeits his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§5826.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§5826.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