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§5953-G. Additional securities; career and technical education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§5953-G. Additional securities; career and technical education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§5953-G. ADDITIONAL SECURITIES; CAREER AND TECHNICAL EDUCATION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