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§6006-D. Municipal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§6006-D. MUNICIPAL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