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Personal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§6024. PERSONAL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