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Declaration of public policy; funding</w:t>
      </w:r>
    </w:p>
    <w:p>
      <w:pPr>
        <w:jc w:val="both"/>
        <w:spacing w:before="100" w:after="100"/>
        <w:ind w:start="360"/>
        <w:ind w:firstLine="360"/>
      </w:pPr>
      <w:r>
        <w:rPr/>
      </w:r>
      <w:r>
        <w:rPr/>
      </w:r>
      <w:r>
        <w:t xml:space="preserve">The Legislature finds and declares that revenue financing bonds as authorized in this subchapter are tax-exempt or taxable bonds payable from sources as provided in this subchapter and such bonds do not include a legal or equitable claim against tax revenues of the State and do not represent constitutional debt of or a pledge of the full faith and credit of the State.  The Legislature also finds that issuance of the revenue financing bonds authorized in this subchapter and use of the proceeds of those bonds do not violate the terms of the Constitution of Maine, </w:t>
      </w:r>
      <w:r>
        <w:t>Article V</w:t>
      </w:r>
      <w:r>
        <w:t xml:space="preserve">, Part Third.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§6051. Declaration of public policy;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Declaration of public policy;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§6051. DECLARATION OF PUBLIC POLICY;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