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the county shall operate on an interim budget, which may not exceed 80% of the previous year's budget, until a budget is finally adopted.</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§762.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§762.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