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Officers' salaries</w:t>
      </w:r>
    </w:p>
    <w:p>
      <w:pPr>
        <w:jc w:val="both"/>
        <w:spacing w:before="100" w:after="100"/>
        <w:ind w:start="360"/>
        <w:ind w:firstLine="360"/>
      </w:pPr>
      <w:r>
        <w:rPr/>
      </w:r>
      <w:r>
        <w:rPr/>
      </w:r>
      <w:r>
        <w:t xml:space="preserve">The county commissioners shall set the salaries of all county officers with the exception of their own.  The salaries of the county commissioners are set by the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§894. Officers'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Officers'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§894. OFFICERS'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