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County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§951. COUNTY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