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HISTORY AND OBSERVANCES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3603</w:t>
        <w:t xml:space="preserve">.  </w:t>
      </w:r>
      <w:r>
        <w:rPr>
          <w:b/>
        </w:rPr>
        <w:t xml:space="preserve">Old Home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HISTORY AND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HISTORY AND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223. HISTORY AND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