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603. MI'KMAQ NATION RESTORATION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