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1452</w:t>
        <w:t xml:space="preserve">.  </w:t>
      </w:r>
      <w:r>
        <w:rPr>
          <w:b/>
        </w:rPr>
        <w:t xml:space="preserve">Relation to electronic signatures in global and national commerce act</w:t>
      </w:r>
    </w:p>
    <w:p>
      <w:pPr>
        <w:jc w:val="both"/>
        <w:spacing w:before="100" w:after="100"/>
        <w:ind w:start="360"/>
        <w:ind w:firstLine="360"/>
      </w:pPr>
      <w:r>
        <w:rPr/>
      </w:r>
      <w:r>
        <w:rPr/>
      </w:r>
      <w:r>
        <w:t xml:space="preserve">This chapter modifies, limits or supersedes the federal Electronic Signatures in Global and National Commerce Act, 15 United States Code, </w:t>
      </w:r>
      <w:r>
        <w:t>Section 7001</w:t>
      </w:r>
      <w:r>
        <w:t xml:space="preserve"> et seq., but this chapter does not modify, limit or supersede </w:t>
      </w:r>
      <w:r>
        <w:t>Section 101(c)</w:t>
      </w:r>
      <w:r>
        <w:t xml:space="preserve"> of that Act or authorize electronic delivery of any of the notices described in </w:t>
      </w:r>
      <w:r>
        <w:t>Section 103(b)</w:t>
      </w:r>
      <w:r>
        <w:t xml:space="preserve"> of that Act.</w:t>
      </w:r>
      <w:r>
        <w:t xml:space="preserve">  </w:t>
      </w:r>
      <w:r xmlns:wp="http://schemas.openxmlformats.org/drawingml/2010/wordprocessingDrawing" xmlns:w15="http://schemas.microsoft.com/office/word/2012/wordml">
        <w:rPr>
          <w:rFonts w:ascii="Arial" w:hAnsi="Arial" w:cs="Arial"/>
          <w:sz w:val="22"/>
          <w:szCs w:val="22"/>
        </w:rPr>
        <w:t xml:space="preserve">[PL 2005, c. 543, Pt. C,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543, §C2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§1452. Relation to electronic signatures in global and national commerce act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§1452. Relation to electronic signatures in global and national commerce act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31, §1452. RELATION TO ELECTRONIC SIGNATURES IN GLOBAL AND NATIONAL COMMERCE ACT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