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1591</w:t>
        <w:t xml:space="preserve">.  </w:t>
      </w:r>
      <w:r>
        <w:rPr>
          <w:b/>
        </w:rPr>
        <w:t xml:space="preserve">Grounds for administrative dissolution of limited liability company</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1592</w:t>
      </w:r>
      <w:r>
        <w:t xml:space="preserve"> to administratively dissolve a limited liability company if:</w:t>
      </w:r>
      <w:r>
        <w:t xml:space="preserve">  </w:t>
      </w:r>
      <w:r xmlns:wp="http://schemas.openxmlformats.org/drawingml/2010/wordprocessingDrawing" xmlns:w15="http://schemas.microsoft.com/office/word/2012/wordml">
        <w:rPr>
          <w:rFonts w:ascii="Arial" w:hAnsi="Arial" w:cs="Arial"/>
          <w:sz w:val="22"/>
          <w:szCs w:val="22"/>
        </w:rPr>
        <w:t xml:space="preserve">[PL 2011, c. 113, Pt. A, §11 (AMD).]</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limited liability company does not pay when due any fees or penalties imposed by this chapter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limited liability company does not deliver its annual report to the Secretary of State as required by </w:t>
      </w:r>
      <w:r>
        <w:t>section 1665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limited liability company does not pay the annual report late filing penalty as required by </w:t>
      </w:r>
      <w:r>
        <w:t>section 1667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limited liability company is without a registered agent in this State as required by </w:t>
      </w:r>
      <w:r>
        <w:t>section 1661</w:t>
      </w:r>
      <w:r>
        <w:t xml:space="preserve"> and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limited liability company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 member, manager or agent of the limited liability company signed a document with the knowledge that the document was false in a material respect and with the intent that the document be delivered to the office of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§1591. Grounds for administrative dissolution of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§1591. Grounds for administrative dissolution of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§1591. GROUNDS FOR ADMINISTRATIVE DISSOLUTION OF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