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11051-A</w:t>
        <w:t xml:space="preserve">.  </w:t>
      </w:r>
      <w:r>
        <w:rPr>
          <w:b/>
        </w:rPr>
        <w:t xml:space="preserve">Enforcement; financial institutions</w:t>
      </w:r>
    </w:p>
    <w:p>
      <w:pPr>
        <w:jc w:val="both"/>
        <w:spacing w:before="100" w:after="100"/>
        <w:ind w:start="360"/>
        <w:ind w:firstLine="360"/>
      </w:pPr>
      <w:r>
        <w:rPr/>
      </w:r>
      <w:r>
        <w:rPr/>
      </w:r>
      <w:r>
        <w:t xml:space="preserve">When a supervised financial organization is the creditor, the Superintendent of Financial Institutions has concurrent examination authority under </w:t>
      </w:r>
      <w:r>
        <w:t>section 11051</w:t>
      </w:r>
      <w:r>
        <w:t xml:space="preserve">.  The administrator and the Superintendent of Financial Institutions shall cooperate in enforcing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309, §24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§24 (NEW). PL 1995, c. 309, §29 (AFF).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§11051-A. Enforcement;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§11051-A. Enforcement;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§11051-A. ENFORCEMENT;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