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11202</w:t>
        <w:t xml:space="preserve">.  </w:t>
      </w:r>
      <w:r>
        <w:rPr>
          <w:b/>
        </w:rPr>
        <w:t xml:space="preserve">Unlawful commodity transactions</w:t>
      </w:r>
    </w:p>
    <w:p>
      <w:pPr>
        <w:jc w:val="both"/>
        <w:spacing w:before="100" w:after="100"/>
        <w:ind w:start="360"/>
        <w:ind w:firstLine="360"/>
      </w:pPr>
      <w:r>
        <w:rPr/>
      </w:r>
      <w:r>
        <w:rPr/>
      </w:r>
      <w:r>
        <w:t xml:space="preserve">Except as otherwise provided in </w:t>
      </w:r>
      <w:r>
        <w:t>section 11203</w:t>
      </w:r>
      <w:r>
        <w:t xml:space="preserve"> or </w:t>
      </w:r>
      <w:r>
        <w:t>11204</w:t>
      </w:r>
      <w:r>
        <w:t xml:space="preserve">, no person may sell, purchase or offer to sell or purchase any commodity under any commodity contract or any commodity option or offer to enter into or enter into as seller or purchaser any commodity contract or commodity option.</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§11202. Unlawful commodity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§11202. Unlawful commodity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§11202. UNLAWFUL COMMODITY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