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12540</w:t>
        <w:t xml:space="preserve">.  </w:t>
      </w:r>
      <w:r>
        <w:rPr>
          <w:b/>
        </w:rPr>
        <w:t xml:space="preserve">Qualified immunity</w:t>
      </w:r>
    </w:p>
    <w:p>
      <w:pPr>
        <w:jc w:val="both"/>
        <w:spacing w:before="100" w:after="100"/>
        <w:ind w:start="360"/>
        <w:ind w:firstLine="360"/>
      </w:pPr>
      <w:r>
        <w:rPr/>
      </w:r>
      <w:r>
        <w:rPr/>
      </w:r>
      <w:r>
        <w:t xml:space="preserve">Other health care practitioners or health care providers, as defined in </w:t>
      </w:r>
      <w:r>
        <w:t>Title 24, section 2502, subsections 1‑A</w:t>
      </w:r>
      <w:r>
        <w:t xml:space="preserve"> and </w:t>
      </w:r>
      <w:r>
        <w:t>2</w:t>
      </w:r>
      <w:r>
        <w:t xml:space="preserve">, respectively, are immune from civil liability for any injuries or death resulting from the acts or omissions of a midwife. Notwithstanding any inconsistent provisions of any public or private and special law, a health care practitioner or health care provider who consults or collaborates with a midwife or accepts transfer of care of clients of a midwife is not liable for damages for injuries or death alleged to have occurred by reason of an act or omission, unless it is established that the injuries or the death were caused willfully, wantonly or recklessly or by gross negligence on the part of the health care practitioner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§12540. Qualified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§12540. Qualified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§12540. QUALIFIED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