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13812</w:t>
        <w:t xml:space="preserve">.  </w:t>
      </w:r>
      <w:r>
        <w:rPr>
          <w:b/>
        </w:rPr>
        <w:t xml:space="preserve">Dispensing of medication by pharmacist</w:t>
      </w:r>
    </w:p>
    <w:p>
      <w:pPr>
        <w:jc w:val="both"/>
        <w:spacing w:before="100" w:after="100"/>
        <w:ind w:start="1080" w:hanging="720"/>
      </w:pPr>
      <w:r>
        <w:rPr>
          <w:b/>
        </w:rPr>
        <w:t>(CONTAINS TEXT WITH VARYING EFFECTIVE DATES)</w:t>
      </w:r>
    </w:p>
    <w:p>
      <w:pPr>
        <w:jc w:val="both"/>
        <w:spacing w:before="100" w:after="100"/>
        <w:ind w:start="360"/>
      </w:pPr>
      <w:r>
        <w:rPr>
          <w:b/>
        </w:rPr>
        <w:t>(WHOLE SECTION TEXT REPEALED ON CONTINGENCY: See PL 2015, c. 502,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669, §2 (NEW). PL 2015, c. 502, §13 (RP). PL 2015, c. 502,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§13812. Dispensing of medication by pharmacist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§13812. Dispensing of medication by pharmacist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§13812. DISPENSING OF MEDICATION BY PHARMACIST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