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13833</w:t>
        <w:t xml:space="preserve">.  </w:t>
      </w:r>
      <w:r>
        <w:rPr>
          <w:b/>
        </w:rPr>
        <w:t xml:space="preserve">Treatment protocol</w:t>
      </w:r>
    </w:p>
    <w:p>
      <w:pPr>
        <w:jc w:val="both"/>
        <w:spacing w:before="100" w:after="100"/>
        <w:ind w:start="360"/>
        <w:ind w:firstLine="360"/>
      </w:pPr>
      <w:r>
        <w:rPr/>
      </w:r>
      <w:r>
        <w:rPr/>
      </w:r>
      <w:r>
        <w:t xml:space="preserve">A pharmacist shall administer drugs and vaccines in compliance with a treatment protocol established by a practitioner authorized under the laws of this State to order administration of those drugs and vaccines approved by the board.  A copy of the original treatment protocol and any subsequent revisions to the treatment protocol must be kept on the premises of the pharmacy and be available to the board or the board's representative upon request.  At a minimum the treatment protocol must include:</w:t>
      </w:r>
      <w:r>
        <w:t xml:space="preserve">  </w:t>
      </w:r>
      <w:r xmlns:wp="http://schemas.openxmlformats.org/drawingml/2010/wordprocessingDrawing" xmlns:w15="http://schemas.microsoft.com/office/word/2012/wordml">
        <w:rPr>
          <w:rFonts w:ascii="Arial" w:hAnsi="Arial" w:cs="Arial"/>
          <w:sz w:val="22"/>
          <w:szCs w:val="22"/>
        </w:rPr>
        <w:t xml:space="preserve">[PL 2021, c. 289, §13 (AMD).]</w:t>
      </w:r>
    </w:p>
    <w:p>
      <w:pPr>
        <w:jc w:val="both"/>
        <w:spacing w:before="100" w:after="0"/>
        <w:ind w:start="360"/>
        <w:ind w:firstLine="360"/>
      </w:pPr>
      <w:r>
        <w:rPr>
          <w:b/>
        </w:rPr>
        <w:t>1</w:t>
        <w:t xml:space="preserve">.  </w:t>
      </w:r>
      <w:r>
        <w:rPr>
          <w:b/>
        </w:rPr>
        <w:t xml:space="preserve">Standards.</w:t>
        <w:t xml:space="preserve"> </w:t>
      </w:r>
      <w:r>
        <w:t xml:space="preserve"> </w:t>
      </w:r>
      <w:r>
        <w:t xml:space="preserve">Standards for observation of the person receiving the drug or vaccine to determine whether the person has an adverse reaction, as adopted in rules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§6 (AMD).]</w:t>
      </w:r>
    </w:p>
    <w:p>
      <w:pPr>
        <w:jc w:val="both"/>
        <w:spacing w:before="100" w:after="0"/>
        <w:ind w:start="360"/>
        <w:ind w:firstLine="360"/>
      </w:pPr>
      <w:r>
        <w:rPr>
          <w:b/>
        </w:rPr>
        <w:t>2</w:t>
        <w:t xml:space="preserve">.  </w:t>
      </w:r>
      <w:r>
        <w:rPr>
          <w:b/>
        </w:rPr>
        <w:t xml:space="preserve">Procedures.</w:t>
        <w:t xml:space="preserve"> </w:t>
      </w:r>
      <w:r>
        <w:t xml:space="preserve"> </w:t>
      </w:r>
      <w:r>
        <w:t xml:space="preserve">Procedures to be followed by the pharmacist when administering epinephrine or diphenhydramine, or both, to a person who has an adverse reaction to a vaccine administered by the pharmacist;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§6 (AMD).]</w:t>
      </w:r>
    </w:p>
    <w:p>
      <w:pPr>
        <w:jc w:val="both"/>
        <w:spacing w:before="100" w:after="0"/>
        <w:ind w:start="360"/>
        <w:ind w:firstLine="360"/>
      </w:pPr>
      <w:r>
        <w:rPr>
          <w:b/>
        </w:rPr>
        <w:t>3</w:t>
        <w:t xml:space="preserve">.  </w:t>
      </w:r>
      <w:r>
        <w:rPr>
          <w:b/>
        </w:rPr>
        <w:t xml:space="preserve">Notification.</w:t>
        <w:t xml:space="preserve"> </w:t>
      </w:r>
      <w:r>
        <w:t xml:space="preserve"> </w:t>
      </w:r>
      <w:r>
        <w:t xml:space="preserve">Notification to the authorized practitioner who issued the prescription, standing order or protocol under </w:t>
      </w:r>
      <w:r>
        <w:t>section 13831, subsection 2</w:t>
      </w:r>
      <w:r>
        <w:t xml:space="preserve"> of the administration by the pharmacist of the drug or vaccine, or both, within 3 business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§6 (AMD). PL 2021, c. 289,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§13833. Treatment protocol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§13833. Treatment protocol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§13833. TREATMENT PROTOCOL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