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1523</w:t>
        <w:t xml:space="preserve">.  </w:t>
      </w:r>
      <w:r>
        <w:rPr>
          <w:b/>
        </w:rPr>
        <w:t xml:space="preserve">Privileged communication</w:t>
      </w:r>
    </w:p>
    <w:p>
      <w:pPr>
        <w:jc w:val="both"/>
        <w:spacing w:before="100" w:after="100"/>
        <w:ind w:start="360"/>
        <w:ind w:firstLine="360"/>
      </w:pPr>
      <w:r>
        <w:rPr/>
      </w:r>
      <w:r>
        <w:rPr/>
      </w:r>
      <w:r>
        <w:t xml:space="preserve">Individuals licensed under this chapter are included under the evidentiary communications privilege outlined in </w:t>
      </w:r>
      <w:r>
        <w:t>Title 5, section 48‑A,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§9 (AMD). PL 1999, c. 399, §20 (AFF). PL 2003, c. 685,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§1523. Privileged communication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§1523. Privileged communication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§1523. PRIVILEGED COMMUNICATION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