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17304</w:t>
        <w:t xml:space="preserve">.  </w:t>
      </w:r>
      <w:r>
        <w:rPr>
          <w:b/>
        </w:rPr>
        <w:t xml:space="preserve">Scope of practice; audiologists</w:t>
      </w:r>
    </w:p>
    <w:p>
      <w:pPr>
        <w:jc w:val="both"/>
        <w:spacing w:before="100" w:after="100"/>
        <w:ind w:start="360"/>
        <w:ind w:firstLine="360"/>
      </w:pPr>
      <w:r>
        <w:rPr/>
      </w:r>
      <w:r>
        <w:rPr/>
      </w:r>
      <w:r>
        <w:t xml:space="preserve">Audiologists identify, assess, manage and interpret test results related to disorders of human hearing, balance and other neural systems, including the dispensing of hearing aids.  Audiologists also supervise programs and services related to human communication and its disorders; counsel families, individuals and caregivers; and provide consultation, make referrals and develop preventative programs.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100"/>
        <w:ind w:start="360"/>
        <w:ind w:firstLine="360"/>
      </w:pPr>
      <w:r>
        <w:rPr/>
      </w:r>
      <w:r>
        <w:rPr/>
      </w:r>
      <w:r>
        <w:t xml:space="preserve">The provisions of this section pertaining to the scope of practice for audiologists neither limit nor infringe upon licensure laws of other regulated professions in this State.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§17304. Scope of practice; audiologists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§17304. Scope of practice; audiologists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§17304. SCOPE OF PRACTICE; AUDIOLOGISTS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