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17512</w:t>
        <w:t xml:space="preserve">.  </w:t>
      </w:r>
      <w:r>
        <w:rPr>
          <w:b/>
        </w:rPr>
        <w:t xml:space="preserve">Date of implementation of Audiology and Speech-Language Pathology Interstate Compact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Withdrawal does not affect the continuing requirement of the state's audiology or speech-language pathology licensing board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audiology or speech-language pathology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§17512. Date of implementation of Audiology and Speech-Language Pathology Interstate Compact and associated rules,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§17512. Date of implementation of Audiology and Speech-Language Pathology Interstate Compact and associated rules,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§17512. DATE OF IMPLEMENTATION OF AUDIOLOGY AND SPEECH-LANGUAGE PATHOLOGY INTERSTATE COMPACT AND ASSOCIATED RULES,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