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18379</w:t>
        <w:t xml:space="preserve">.  </w:t>
      </w:r>
      <w:r>
        <w:rPr>
          <w:b/>
        </w:rPr>
        <w:t xml:space="preserve">Sedation and general anesthesia permits</w:t>
      </w:r>
    </w:p>
    <w:p>
      <w:pPr>
        <w:jc w:val="both"/>
        <w:spacing w:before="100" w:after="100"/>
        <w:ind w:start="360"/>
        <w:ind w:firstLine="360"/>
      </w:pPr>
      <w:r>
        <w:rPr/>
      </w:r>
      <w:r>
        <w:rPr/>
      </w:r>
      <w:r>
        <w:t xml:space="preserve">The board shall adopt by rule the qualifications a dentist must have to obtain a permit from the board authorizing the administration of sedation and general anesthesia. The board shall also adopt the guidelines for such administration, including but not limited to practice setting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§18379. Sedation and general anesthesia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§18379. Sedation and general anesthesia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§18379. SEDATION AND GENERAL ANESTHESIA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