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18444</w:t>
        <w:t xml:space="preserve">.  </w:t>
      </w:r>
      <w:r>
        <w:rPr>
          <w:b/>
        </w:rPr>
        <w:t xml:space="preserve">Consistent effect and conflict with other state laws</w:t>
      </w:r>
    </w:p>
    <w:p>
      <w:pPr>
        <w:jc w:val="both"/>
        <w:spacing w:before="100" w:after="0"/>
        <w:ind w:start="360"/>
        <w:ind w:firstLine="360"/>
      </w:pPr>
      <w:r>
        <w:rPr>
          <w:b/>
        </w:rPr>
        <w:t>1</w:t>
        <w:t xml:space="preserve">.  </w:t>
      </w:r>
      <w:r>
        <w:rPr>
          <w:b/>
        </w:rPr>
        <w:t xml:space="preserve">Enforcement.</w:t>
        <w:t xml:space="preserve"> </w:t>
      </w:r>
      <w:r>
        <w:t xml:space="preserve"> </w:t>
      </w:r>
      <w:r>
        <w:t xml:space="preserve">Nothing in this subchapter prevents or inhibits the enforcement of any law of a participating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Conflict.</w:t>
        <w:t xml:space="preserve"> </w:t>
      </w:r>
      <w:r>
        <w:t xml:space="preserve"> </w:t>
      </w:r>
      <w:r>
        <w:t xml:space="preserve">Any laws, rules or other legal requirements in a participating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Binding agreements.</w:t>
        <w:t xml:space="preserve"> </w:t>
      </w:r>
      <w:r>
        <w:t xml:space="preserve"> </w:t>
      </w:r>
      <w:r>
        <w:t xml:space="preserve">All permissible agreements between the commission and the participating states are binding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§18444. Consistent effect and conflict with other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§18444. Consistent effect and conflict with other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§18444. CONSISTENT EFFECT AND CONFLICT WITH OTHER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