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18542</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the United States, or the applicability of a phrase, clause, sentence or provision of this compact to any government, agency, person or circumstance is held to be unconstitutional by a court of competent jurisdiction, the validity of the remainder of this compact and the applicability of the compact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w:t>
      </w:r>
      <w:r>
        <w:t>subsections 1</w:t>
      </w:r>
      <w:r>
        <w:t xml:space="preserve"> and </w:t>
      </w:r>
      <w:r>
        <w:t>2</w:t>
      </w:r>
      <w:r>
        <w:t xml:space="preserve">, the commission may deny a state's participation in the compact or, in accordance with the requirements of </w:t>
      </w:r>
      <w:r>
        <w:t>section 18540</w:t>
      </w:r>
      <w:r>
        <w:t xml:space="preserve">,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§18542.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§18542.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§18542.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