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2297</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take all actions necessary and appropriate to effectuate the compact's purposes and intent.  The provisions of this compact and the rules promulgated under this compact have standing as statutory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commission is entitled to receive service of process in any proceeding under </w:t>
      </w:r>
      <w:r>
        <w:t>paragraph B</w:t>
      </w:r>
      <w:r>
        <w:t xml:space="preserve">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member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member states of the nature of the default, the proposed means of curing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given by the commission to the governor,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D</w:t>
        <w:t xml:space="preserve">.  </w:t>
      </w:r>
      <w:r>
        <w:rPr/>
      </w:r>
      <w:r>
        <w:t xml:space="preserve">A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E</w:t>
        <w:t xml:space="preserve">.  </w:t>
      </w:r>
      <w:r>
        <w:rPr/>
      </w:r>
      <w:r>
        <w:t xml:space="preserve">The commission may not bear any costs related to a state that is found to be in default or that has been terminated from the compact, unless agreed upon in writing between the commission and the defaulting or terminating state.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§2297. Oversight, dispute resolution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§2297. Oversight, dispute resolution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§2297. OVERSIGHT, DISPUTE RESOLUTION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