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83, c. 413, §116 (AMD). PL 1997, c. 82, §3 (AMD). PL 1999, c. 386, §J9 (AMD). PL 1999, c. 547, §B78 (AMD). PL 1999, c. 547, §B80 (AFF). PL 2003, c. 452, §R5 (RPR). PL 2003, c. 452, §X2 (AFF). PL 2007, c. 402, Pt. M, §§5, 6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7.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7.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